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943"/>
        <w:gridCol w:w="5585"/>
      </w:tblGrid>
      <w:tr w:rsidR="00440C85" w:rsidTr="007D4629">
        <w:tc>
          <w:tcPr>
            <w:tcW w:w="2943" w:type="dxa"/>
          </w:tcPr>
          <w:p w:rsidR="00440C85" w:rsidRDefault="00440C85" w:rsidP="007D4629">
            <w:pPr>
              <w:spacing w:before="120" w:beforeAutospacing="0" w:after="120" w:afterAutospacing="0"/>
              <w:rPr>
                <w:u w:val="single"/>
              </w:rPr>
            </w:pPr>
          </w:p>
        </w:tc>
        <w:tc>
          <w:tcPr>
            <w:tcW w:w="5585" w:type="dxa"/>
          </w:tcPr>
          <w:p w:rsidR="00440C85" w:rsidRPr="0022268F" w:rsidRDefault="00440C85" w:rsidP="007D4629">
            <w:pPr>
              <w:spacing w:before="120" w:beforeAutospacing="0" w:after="12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 </w:t>
            </w:r>
            <w:r>
              <w:rPr>
                <w:b/>
                <w:sz w:val="22"/>
                <w:szCs w:val="22"/>
                <w:lang w:val="ru-RU"/>
              </w:rPr>
              <w:t>ЗАПОРІЗЬКОГО АПЕЛЯЦІЙНОГО СУДУ</w:t>
            </w:r>
          </w:p>
          <w:p w:rsidR="00440C85" w:rsidRDefault="00440C85" w:rsidP="007D4629">
            <w:pPr>
              <w:spacing w:before="120" w:beforeAutospacing="0" w:after="120" w:afterAutospacing="0"/>
            </w:pPr>
            <w:smartTag w:uri="urn:schemas-microsoft-com:office:smarttags" w:element="metricconverter">
              <w:smartTagPr>
                <w:attr w:name="ProductID" w:val="69005, м"/>
              </w:smartTagPr>
              <w:r w:rsidRPr="00F37835">
                <w:rPr>
                  <w:sz w:val="22"/>
                  <w:szCs w:val="22"/>
                </w:rPr>
                <w:t>69005, м</w:t>
              </w:r>
            </w:smartTag>
            <w:r>
              <w:rPr>
                <w:sz w:val="22"/>
                <w:szCs w:val="22"/>
              </w:rPr>
              <w:t>. Запоріжжя, пр. Соборний</w:t>
            </w:r>
            <w:r w:rsidRPr="00F37835">
              <w:rPr>
                <w:sz w:val="22"/>
                <w:szCs w:val="22"/>
              </w:rPr>
              <w:t>, 162</w:t>
            </w:r>
          </w:p>
        </w:tc>
      </w:tr>
      <w:tr w:rsidR="00440C85" w:rsidRPr="004E2853" w:rsidTr="007D4629">
        <w:tc>
          <w:tcPr>
            <w:tcW w:w="2943" w:type="dxa"/>
          </w:tcPr>
          <w:p w:rsidR="00440C85" w:rsidRPr="004E2853" w:rsidRDefault="00440C85" w:rsidP="007D4629">
            <w:pPr>
              <w:spacing w:before="120" w:beforeAutospacing="0" w:after="120" w:afterAutospacing="0"/>
              <w:rPr>
                <w:u w:val="single"/>
              </w:rPr>
            </w:pPr>
            <w:r w:rsidRPr="004E2853">
              <w:rPr>
                <w:sz w:val="22"/>
                <w:szCs w:val="22"/>
                <w:u w:val="single"/>
              </w:rPr>
              <w:t>цивільна справа  №:</w:t>
            </w:r>
          </w:p>
        </w:tc>
        <w:tc>
          <w:tcPr>
            <w:tcW w:w="5585" w:type="dxa"/>
          </w:tcPr>
          <w:p w:rsidR="00440C85" w:rsidRPr="00440C85" w:rsidRDefault="00440C85" w:rsidP="007D4629">
            <w:pPr>
              <w:spacing w:before="120" w:beforeAutospacing="0" w:after="120" w:afterAutospacing="0"/>
              <w:rPr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…………….</w:t>
            </w:r>
          </w:p>
          <w:p w:rsidR="00440C85" w:rsidRPr="004E2853" w:rsidRDefault="00440C85" w:rsidP="007D4629">
            <w:pPr>
              <w:spacing w:before="120" w:beforeAutospacing="0" w:after="120" w:afterAutospacing="0"/>
              <w:rPr>
                <w:sz w:val="22"/>
                <w:szCs w:val="22"/>
                <w:u w:val="single"/>
              </w:rPr>
            </w:pPr>
          </w:p>
        </w:tc>
      </w:tr>
      <w:tr w:rsidR="00440C85" w:rsidRPr="0022268F" w:rsidTr="007D4629">
        <w:tc>
          <w:tcPr>
            <w:tcW w:w="2943" w:type="dxa"/>
          </w:tcPr>
          <w:p w:rsidR="00440C85" w:rsidRDefault="00440C85" w:rsidP="007D4629">
            <w:pPr>
              <w:spacing w:before="120" w:beforeAutospacing="0" w:after="120" w:afterAutospacing="0"/>
            </w:pPr>
            <w:r>
              <w:rPr>
                <w:b/>
                <w:sz w:val="22"/>
                <w:szCs w:val="22"/>
              </w:rPr>
              <w:t>ПОЗИВАЧ:</w:t>
            </w:r>
          </w:p>
        </w:tc>
        <w:tc>
          <w:tcPr>
            <w:tcW w:w="5585" w:type="dxa"/>
          </w:tcPr>
          <w:p w:rsidR="00440C85" w:rsidRPr="0022268F" w:rsidRDefault="00440C85" w:rsidP="007D4629">
            <w:pPr>
              <w:spacing w:before="120" w:beforeAutospacing="0" w:after="12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ПІБ</w:t>
            </w:r>
            <w:r w:rsidRPr="0022268F">
              <w:rPr>
                <w:b/>
                <w:sz w:val="22"/>
                <w:szCs w:val="22"/>
              </w:rPr>
              <w:t>,</w:t>
            </w:r>
          </w:p>
          <w:p w:rsidR="00440C85" w:rsidRDefault="00440C85" w:rsidP="007D4629">
            <w:pPr>
              <w:spacing w:before="12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серія СА №</w:t>
            </w:r>
            <w:r w:rsidRPr="00BB2606">
              <w:rPr>
                <w:sz w:val="22"/>
                <w:szCs w:val="22"/>
              </w:rPr>
              <w:t>, виданий Бердянським МВ УМВС України в За</w:t>
            </w:r>
            <w:r>
              <w:rPr>
                <w:sz w:val="22"/>
                <w:szCs w:val="22"/>
              </w:rPr>
              <w:t>порізькій області від ,</w:t>
            </w:r>
          </w:p>
          <w:p w:rsidR="00440C85" w:rsidRPr="00BB2606" w:rsidRDefault="00440C85" w:rsidP="007D4629">
            <w:pPr>
              <w:spacing w:before="12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реєстраційний номер облікової картки платника податків …………… </w:t>
            </w:r>
          </w:p>
          <w:p w:rsidR="00440C85" w:rsidRPr="0022268F" w:rsidRDefault="00440C85" w:rsidP="007D4629">
            <w:pPr>
              <w:spacing w:before="120" w:beforeAutospacing="0" w:after="120" w:afterAutospacing="0"/>
              <w:rPr>
                <w:sz w:val="22"/>
                <w:szCs w:val="22"/>
              </w:rPr>
            </w:pPr>
            <w:r w:rsidRPr="0022268F">
              <w:rPr>
                <w:b/>
                <w:sz w:val="22"/>
                <w:szCs w:val="22"/>
              </w:rPr>
              <w:t>місце проживання:</w:t>
            </w:r>
            <w:r>
              <w:rPr>
                <w:sz w:val="22"/>
                <w:szCs w:val="22"/>
              </w:rPr>
              <w:t xml:space="preserve"> 71100, Запорізька обл., м. Бердянськ, вул. </w:t>
            </w:r>
          </w:p>
          <w:p w:rsidR="00440C85" w:rsidRPr="0022268F" w:rsidRDefault="00440C85" w:rsidP="007D4629">
            <w:pPr>
              <w:spacing w:before="120" w:beforeAutospacing="0" w:after="120" w:afterAutospacing="0"/>
              <w:rPr>
                <w:sz w:val="22"/>
                <w:szCs w:val="22"/>
              </w:rPr>
            </w:pPr>
            <w:r w:rsidRPr="0022268F">
              <w:rPr>
                <w:sz w:val="22"/>
                <w:szCs w:val="22"/>
              </w:rPr>
              <w:t xml:space="preserve">номер засобу зв’язку: </w:t>
            </w:r>
          </w:p>
        </w:tc>
      </w:tr>
      <w:tr w:rsidR="00440C85" w:rsidTr="007D4629">
        <w:tc>
          <w:tcPr>
            <w:tcW w:w="2943" w:type="dxa"/>
          </w:tcPr>
          <w:p w:rsidR="00440C85" w:rsidRDefault="00440C85" w:rsidP="007D4629">
            <w:pPr>
              <w:spacing w:before="120" w:beforeAutospacing="0" w:after="120" w:afterAutospacing="0"/>
              <w:rPr>
                <w:b/>
              </w:rPr>
            </w:pPr>
          </w:p>
        </w:tc>
        <w:tc>
          <w:tcPr>
            <w:tcW w:w="5585" w:type="dxa"/>
          </w:tcPr>
          <w:p w:rsidR="00440C85" w:rsidRDefault="00440C85" w:rsidP="007D4629">
            <w:pPr>
              <w:spacing w:before="120" w:beforeAutospacing="0" w:after="120" w:afterAutospacing="0"/>
            </w:pPr>
          </w:p>
        </w:tc>
      </w:tr>
      <w:tr w:rsidR="00440C85" w:rsidTr="007D4629">
        <w:tc>
          <w:tcPr>
            <w:tcW w:w="2943" w:type="dxa"/>
          </w:tcPr>
          <w:p w:rsidR="00440C85" w:rsidRDefault="00440C85" w:rsidP="007D4629">
            <w:pPr>
              <w:spacing w:before="120" w:beforeAutospacing="0" w:after="120" w:afterAutospacing="0"/>
            </w:pPr>
            <w:r>
              <w:t>ІНШІ ОСОБИ, ЩО ПРИЙМАЛИ УЧАСТЬ У СПРАВІ</w:t>
            </w:r>
          </w:p>
        </w:tc>
        <w:tc>
          <w:tcPr>
            <w:tcW w:w="5585" w:type="dxa"/>
          </w:tcPr>
          <w:p w:rsidR="00440C85" w:rsidRDefault="00440C85" w:rsidP="007D4629">
            <w:pPr>
              <w:spacing w:before="120" w:beforeAutospacing="0" w:after="120" w:afterAutospacing="0"/>
            </w:pPr>
          </w:p>
        </w:tc>
      </w:tr>
      <w:tr w:rsidR="00440C85" w:rsidTr="007D4629">
        <w:tc>
          <w:tcPr>
            <w:tcW w:w="2943" w:type="dxa"/>
          </w:tcPr>
          <w:p w:rsidR="00440C85" w:rsidRDefault="00440C85" w:rsidP="007D4629">
            <w:pPr>
              <w:spacing w:before="120" w:beforeAutospacing="0" w:after="120" w:afterAutospacing="0"/>
            </w:pPr>
            <w:r>
              <w:rPr>
                <w:b/>
                <w:sz w:val="22"/>
                <w:szCs w:val="22"/>
              </w:rPr>
              <w:t>ВІДПОВІДАЧ:</w:t>
            </w:r>
          </w:p>
        </w:tc>
        <w:tc>
          <w:tcPr>
            <w:tcW w:w="5585" w:type="dxa"/>
          </w:tcPr>
          <w:p w:rsidR="00440C85" w:rsidRDefault="00440C85" w:rsidP="007D4629">
            <w:pPr>
              <w:spacing w:before="120" w:beforeAutospacing="0" w:after="12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ПІБ</w:t>
            </w:r>
          </w:p>
          <w:p w:rsidR="00440C85" w:rsidRDefault="00440C85" w:rsidP="00440C85">
            <w:pPr>
              <w:spacing w:before="120" w:beforeAutospacing="0" w:after="120" w:afterAutospacing="0"/>
              <w:rPr>
                <w:sz w:val="22"/>
                <w:szCs w:val="22"/>
              </w:rPr>
            </w:pPr>
            <w:r w:rsidRPr="00440C85">
              <w:rPr>
                <w:b/>
                <w:i/>
                <w:sz w:val="22"/>
                <w:szCs w:val="22"/>
              </w:rPr>
              <w:t>ЯКЩО ВІДОМІ</w:t>
            </w:r>
            <w:r>
              <w:rPr>
                <w:sz w:val="22"/>
                <w:szCs w:val="22"/>
              </w:rPr>
              <w:t xml:space="preserve"> - паспорт серія СА №</w:t>
            </w:r>
            <w:r w:rsidRPr="00BB2606">
              <w:rPr>
                <w:sz w:val="22"/>
                <w:szCs w:val="22"/>
              </w:rPr>
              <w:t>, виданий Бердянським МВ УМВС України в За</w:t>
            </w:r>
            <w:r>
              <w:rPr>
                <w:sz w:val="22"/>
                <w:szCs w:val="22"/>
              </w:rPr>
              <w:t>порізькій області від ,</w:t>
            </w:r>
          </w:p>
          <w:p w:rsidR="00440C85" w:rsidRPr="00440C85" w:rsidRDefault="00440C85" w:rsidP="007D4629">
            <w:pPr>
              <w:spacing w:before="12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реєстраційний номер облікової картки платника податків …………… </w:t>
            </w:r>
          </w:p>
          <w:p w:rsidR="00440C85" w:rsidRDefault="00440C85" w:rsidP="007D4629">
            <w:pPr>
              <w:spacing w:before="120" w:beforeAutospacing="0" w:after="120" w:afterAutospacing="0"/>
            </w:pPr>
            <w:r>
              <w:rPr>
                <w:b/>
                <w:sz w:val="22"/>
                <w:szCs w:val="22"/>
              </w:rPr>
              <w:t>місце проживання</w:t>
            </w:r>
            <w:r>
              <w:rPr>
                <w:sz w:val="22"/>
                <w:szCs w:val="22"/>
              </w:rPr>
              <w:t>: 71100, Запорізька обл., Бердянський район, с. Азовське, вул.</w:t>
            </w:r>
          </w:p>
          <w:p w:rsidR="00440C85" w:rsidRDefault="00440C85" w:rsidP="007D4629">
            <w:pPr>
              <w:spacing w:before="120" w:beforeAutospacing="0" w:after="12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номер засобу зв’язку: </w:t>
            </w:r>
            <w:r>
              <w:rPr>
                <w:sz w:val="22"/>
                <w:szCs w:val="22"/>
              </w:rPr>
              <w:t>………..</w:t>
            </w:r>
          </w:p>
          <w:p w:rsidR="00440C85" w:rsidRDefault="00440C85" w:rsidP="007D4629">
            <w:pPr>
              <w:spacing w:before="120" w:beforeAutospacing="0" w:after="120" w:afterAutospacing="0"/>
            </w:pPr>
            <w:r>
              <w:rPr>
                <w:color w:val="000000"/>
                <w:shd w:val="clear" w:color="auto" w:fill="FFFFFF"/>
              </w:rPr>
              <w:t>інші засоби зв’язку, офіційні електронні адреси та інші дані, які ідентифікують  особу не відомі</w:t>
            </w:r>
          </w:p>
        </w:tc>
      </w:tr>
    </w:tbl>
    <w:p w:rsidR="00440C85" w:rsidRPr="00440C85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</w:p>
    <w:p w:rsidR="00440C85" w:rsidRPr="00440C85" w:rsidRDefault="00440C85" w:rsidP="00440C85">
      <w:pPr>
        <w:spacing w:before="120" w:beforeAutospacing="0" w:after="120" w:afterAutospacing="0"/>
        <w:ind w:firstLine="708"/>
        <w:jc w:val="center"/>
        <w:rPr>
          <w:b/>
          <w:color w:val="000000"/>
          <w:sz w:val="27"/>
          <w:szCs w:val="27"/>
        </w:rPr>
      </w:pPr>
      <w:r w:rsidRPr="00440C85">
        <w:rPr>
          <w:b/>
          <w:color w:val="000000"/>
          <w:sz w:val="27"/>
          <w:szCs w:val="27"/>
        </w:rPr>
        <w:t>ЗАЯВА</w:t>
      </w:r>
    </w:p>
    <w:p w:rsidR="00440C85" w:rsidRPr="00440C85" w:rsidRDefault="00440C85" w:rsidP="00440C85">
      <w:pPr>
        <w:spacing w:before="120" w:beforeAutospacing="0" w:after="120" w:afterAutospacing="0"/>
        <w:ind w:firstLine="708"/>
        <w:jc w:val="center"/>
        <w:rPr>
          <w:b/>
          <w:color w:val="000000"/>
          <w:sz w:val="27"/>
          <w:szCs w:val="27"/>
        </w:rPr>
      </w:pPr>
      <w:r w:rsidRPr="00440C85">
        <w:rPr>
          <w:b/>
          <w:color w:val="000000"/>
          <w:sz w:val="27"/>
          <w:szCs w:val="27"/>
        </w:rPr>
        <w:t>про поновлення строку на подання апеляційної скарги</w:t>
      </w:r>
    </w:p>
    <w:p w:rsidR="00440C85" w:rsidRPr="00440C85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</w:p>
    <w:p w:rsidR="00440C85" w:rsidRPr="003631A5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Згідно до ч. 1 ст. 354 ЦПК України а</w:t>
      </w:r>
      <w:r w:rsidRPr="003631A5">
        <w:rPr>
          <w:color w:val="000000"/>
          <w:sz w:val="27"/>
          <w:szCs w:val="27"/>
        </w:rPr>
        <w:t>пеляційна скарга на рішення суду подається протягом тридцяти днів, а на ухвалу суду - протягом п’ятнадцяти днів з дня його (її) проголошення.</w:t>
      </w:r>
    </w:p>
    <w:p w:rsidR="00440C85" w:rsidRPr="003631A5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bookmarkStart w:id="0" w:name="n8571"/>
      <w:bookmarkEnd w:id="0"/>
      <w:r w:rsidRPr="003631A5">
        <w:rPr>
          <w:color w:val="000000"/>
          <w:sz w:val="27"/>
          <w:szCs w:val="27"/>
        </w:rPr>
        <w:t>Якщо в судовому засіданні було оголошено лише вступну та резолютивну частини судового рішення або у разі розгляду справи (вирішення питання) без повідомлення (виклику) учасників справи, зазначений строк обчислюється з дня складення повного судового рішення.</w:t>
      </w:r>
    </w:p>
    <w:p w:rsidR="00440C85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bookmarkStart w:id="1" w:name="n8572"/>
      <w:bookmarkEnd w:id="1"/>
      <w:r>
        <w:rPr>
          <w:color w:val="000000"/>
          <w:sz w:val="27"/>
          <w:szCs w:val="27"/>
        </w:rPr>
        <w:lastRenderedPageBreak/>
        <w:t>Відповідно до ч.</w:t>
      </w:r>
      <w:r w:rsidRPr="003631A5"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 ст. 354 ЦПК України  у</w:t>
      </w:r>
      <w:r w:rsidRPr="003631A5">
        <w:rPr>
          <w:color w:val="000000"/>
          <w:sz w:val="27"/>
          <w:szCs w:val="27"/>
        </w:rPr>
        <w:t>часник справи, якому повне рішення або ухвала суду не були вручені у день його (її) проголошення або складення, має право на поновлення пропущеного строку на апеляційне оскарження:</w:t>
      </w:r>
      <w:bookmarkStart w:id="2" w:name="n8573"/>
      <w:bookmarkEnd w:id="2"/>
    </w:p>
    <w:p w:rsidR="00440C85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r w:rsidRPr="00440C85">
        <w:rPr>
          <w:color w:val="000000"/>
          <w:sz w:val="27"/>
          <w:szCs w:val="27"/>
        </w:rPr>
        <w:t>на рішення суду - якщо апеляційна скарга подана протягом тридцяти днів з дня вру</w:t>
      </w:r>
      <w:r>
        <w:rPr>
          <w:color w:val="000000"/>
          <w:sz w:val="27"/>
          <w:szCs w:val="27"/>
        </w:rPr>
        <w:t>чення йому повного рішення суду;</w:t>
      </w:r>
    </w:p>
    <w:p w:rsidR="00440C85" w:rsidRPr="00440C85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r w:rsidRPr="00440C85">
        <w:rPr>
          <w:color w:val="000000"/>
          <w:sz w:val="27"/>
          <w:szCs w:val="27"/>
        </w:rPr>
        <w:t>на ухвали суду - якщо апеляційна скарга подана протягом п’ятнадцяти днів з дня вручення йому відповідної ухвали суду.</w:t>
      </w:r>
    </w:p>
    <w:p w:rsidR="00440C85" w:rsidRDefault="00440C85" w:rsidP="00440C85">
      <w:pPr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bookmarkStart w:id="3" w:name="n8574"/>
      <w:bookmarkStart w:id="4" w:name="n8575"/>
      <w:bookmarkEnd w:id="3"/>
      <w:bookmarkEnd w:id="4"/>
      <w:r w:rsidRPr="00B0280C">
        <w:rPr>
          <w:color w:val="000000"/>
          <w:sz w:val="27"/>
          <w:szCs w:val="27"/>
        </w:rPr>
        <w:tab/>
        <w:t xml:space="preserve">Так, у </w:t>
      </w:r>
      <w:r>
        <w:rPr>
          <w:color w:val="000000"/>
          <w:sz w:val="27"/>
          <w:szCs w:val="27"/>
        </w:rPr>
        <w:t>судовому засіданні від ___________</w:t>
      </w:r>
      <w:r w:rsidRPr="00B0280C">
        <w:rPr>
          <w:color w:val="000000"/>
          <w:sz w:val="27"/>
          <w:szCs w:val="27"/>
        </w:rPr>
        <w:t xml:space="preserve"> року </w:t>
      </w:r>
      <w:r w:rsidRPr="003631A5">
        <w:rPr>
          <w:color w:val="000000"/>
          <w:sz w:val="27"/>
          <w:szCs w:val="27"/>
        </w:rPr>
        <w:t>було оголошено лише вступну та резолютивну частини судового рішення</w:t>
      </w:r>
      <w:r>
        <w:rPr>
          <w:color w:val="000000"/>
          <w:sz w:val="27"/>
          <w:szCs w:val="27"/>
        </w:rPr>
        <w:t>.</w:t>
      </w:r>
    </w:p>
    <w:p w:rsidR="00440C85" w:rsidRPr="00B0280C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відповідності до ч. 3 ст. 272 ЦПК України у</w:t>
      </w:r>
      <w:r w:rsidRPr="00B0280C">
        <w:rPr>
          <w:color w:val="000000"/>
          <w:sz w:val="27"/>
          <w:szCs w:val="27"/>
        </w:rPr>
        <w:t xml:space="preserve"> разі проголошення в судовому засіданні скороченого рішення суд надсилає учасникам справи копію повного судового рішення протягом двох днів з дня його складання - в електронній формі у порядку, встановленому законом (у випадку наявності в особи офіційної електронної адреси), або рекомендованим листом з повідомленням про вручення - якщо така адреса в особи відсутня.</w:t>
      </w:r>
    </w:p>
    <w:p w:rsidR="00440C85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 w:rsidRPr="00357129">
        <w:rPr>
          <w:color w:val="000000"/>
          <w:sz w:val="27"/>
          <w:szCs w:val="27"/>
        </w:rPr>
        <w:t xml:space="preserve">Але ці вимоги виконані не були. Копія повного судового </w:t>
      </w:r>
      <w:r>
        <w:rPr>
          <w:color w:val="000000"/>
          <w:sz w:val="27"/>
          <w:szCs w:val="27"/>
        </w:rPr>
        <w:t>рішення була надана (</w:t>
      </w:r>
      <w:r w:rsidRPr="00440C85">
        <w:rPr>
          <w:i/>
          <w:color w:val="000000"/>
          <w:sz w:val="27"/>
          <w:szCs w:val="27"/>
        </w:rPr>
        <w:t>надіслана, отримана – прим</w:t>
      </w:r>
      <w:r>
        <w:rPr>
          <w:color w:val="000000"/>
          <w:sz w:val="27"/>
          <w:szCs w:val="27"/>
        </w:rPr>
        <w:t>.) позивачу тільки ___________</w:t>
      </w:r>
      <w:r w:rsidRPr="00357129">
        <w:rPr>
          <w:color w:val="000000"/>
          <w:sz w:val="27"/>
          <w:szCs w:val="27"/>
        </w:rPr>
        <w:t xml:space="preserve"> року (</w:t>
      </w:r>
      <w:proofErr w:type="spellStart"/>
      <w:r w:rsidRPr="00357129">
        <w:rPr>
          <w:color w:val="000000"/>
          <w:sz w:val="27"/>
          <w:szCs w:val="27"/>
        </w:rPr>
        <w:t>а.с</w:t>
      </w:r>
      <w:proofErr w:type="spellEnd"/>
      <w:r w:rsidRPr="00357129">
        <w:rPr>
          <w:color w:val="000000"/>
          <w:sz w:val="27"/>
          <w:szCs w:val="27"/>
        </w:rPr>
        <w:t>. 172,173).</w:t>
      </w:r>
    </w:p>
    <w:p w:rsidR="00440C85" w:rsidRPr="00357129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Згідно до судової практики, </w:t>
      </w:r>
      <w:r w:rsidRPr="00357129">
        <w:rPr>
          <w:color w:val="000000"/>
          <w:sz w:val="27"/>
          <w:szCs w:val="27"/>
        </w:rPr>
        <w:t>якщо недотримання строків апеляційного оскарження було зумовлено діями (бездіяльністю) суду, то ці обставини можуть бути підставою для поновлення строку на касаційне оскарження за заявою особи, яка оскаржує судове рішення.</w:t>
      </w:r>
    </w:p>
    <w:p w:rsidR="00440C85" w:rsidRPr="00357129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bookmarkStart w:id="5" w:name="n28"/>
      <w:bookmarkEnd w:id="5"/>
      <w:r w:rsidRPr="00357129">
        <w:rPr>
          <w:color w:val="000000"/>
          <w:sz w:val="27"/>
          <w:szCs w:val="27"/>
        </w:rPr>
        <w:t>У зв’язку із цим суд повинен встановити причинно-наслідковий зв’язок між неправомірною діяльністю суду та фактом пропущення строку (наприклад, встановити, що дії чи бездіяльність суду призвели до того, що саме ця особа не змогла подати скаргу вчасно).</w:t>
      </w:r>
    </w:p>
    <w:p w:rsidR="00440C85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Отже, м</w:t>
      </w:r>
      <w:r w:rsidRPr="00357129">
        <w:rPr>
          <w:color w:val="000000"/>
          <w:sz w:val="27"/>
          <w:szCs w:val="27"/>
        </w:rPr>
        <w:t>ожливість поновлення строків на апеляційне оскарження рішення суду за вищевикладених обставинах, підтверджується і правовими позиціями, які викладені в постанові ВСУ від 1 березня 2017 року у справі № 6-2818цс16, постановою ВСУ від 01.03.2017 року  у справі за № 6-245цс17,  постановою ВСУ від  08.02.2017 у справі № 6-3102цс16.</w:t>
      </w:r>
    </w:p>
    <w:p w:rsidR="00440C85" w:rsidRPr="00440C85" w:rsidRDefault="00440C85" w:rsidP="00440C85">
      <w:pPr>
        <w:spacing w:before="120" w:beforeAutospacing="0" w:after="120" w:afterAutospacing="0"/>
        <w:ind w:firstLine="708"/>
        <w:jc w:val="both"/>
        <w:rPr>
          <w:b/>
          <w:i/>
          <w:color w:val="000000"/>
          <w:sz w:val="27"/>
          <w:szCs w:val="27"/>
        </w:rPr>
      </w:pPr>
      <w:r w:rsidRPr="00440C85">
        <w:rPr>
          <w:b/>
          <w:i/>
          <w:color w:val="000000"/>
          <w:sz w:val="27"/>
          <w:szCs w:val="27"/>
        </w:rPr>
        <w:t>АБО – прим.</w:t>
      </w:r>
    </w:p>
    <w:p w:rsidR="00440C85" w:rsidRPr="003631A5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Відповідно до ч. 3 ст. 354 ЦПК України с</w:t>
      </w:r>
      <w:r w:rsidRPr="003631A5">
        <w:rPr>
          <w:color w:val="000000"/>
          <w:sz w:val="27"/>
          <w:szCs w:val="27"/>
        </w:rPr>
        <w:t>трок на апеляційне оскарження може бути також поновлений в разі пропуску з інших поважних причин, крім випадків, зазначених у </w:t>
      </w:r>
      <w:hyperlink r:id="rId5" w:anchor="n8617" w:history="1">
        <w:r w:rsidRPr="003631A5">
          <w:rPr>
            <w:color w:val="000000"/>
            <w:sz w:val="27"/>
            <w:szCs w:val="27"/>
          </w:rPr>
          <w:t>частині другій</w:t>
        </w:r>
      </w:hyperlink>
      <w:r w:rsidRPr="003631A5">
        <w:rPr>
          <w:color w:val="000000"/>
          <w:sz w:val="27"/>
          <w:szCs w:val="27"/>
        </w:rPr>
        <w:t> статті 358 цього Кодексу.</w:t>
      </w:r>
    </w:p>
    <w:p w:rsidR="00440C85" w:rsidRPr="00357129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ВКАЗУЄМО ОБСТАВИНИ ТА ПРИЧИНИ ПРОПУСКУ та зазначаємо докази (наприклад, хвороба, знаходження на стаціонарному лікуванні, перебування за кордоном, тощо).</w:t>
      </w:r>
    </w:p>
    <w:p w:rsidR="00440C85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чином, апелянтом пропущений строк з об’єктивних причин та не з його вини і може бути поновлений.</w:t>
      </w:r>
    </w:p>
    <w:p w:rsidR="00440C85" w:rsidRPr="00357129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 w:rsidRPr="00357129">
        <w:rPr>
          <w:color w:val="000000"/>
          <w:sz w:val="27"/>
          <w:szCs w:val="27"/>
        </w:rPr>
        <w:lastRenderedPageBreak/>
        <w:t xml:space="preserve">Виходячи з вищезазначеного та керуючись </w:t>
      </w:r>
      <w:r>
        <w:rPr>
          <w:color w:val="000000"/>
          <w:sz w:val="27"/>
          <w:szCs w:val="27"/>
        </w:rPr>
        <w:t xml:space="preserve">статтями </w:t>
      </w:r>
      <w:r>
        <w:rPr>
          <w:color w:val="000000"/>
          <w:sz w:val="27"/>
          <w:szCs w:val="27"/>
          <w:lang w:val="ru-RU"/>
        </w:rPr>
        <w:t xml:space="preserve">272, </w:t>
      </w:r>
      <w:r>
        <w:rPr>
          <w:color w:val="000000"/>
          <w:sz w:val="27"/>
          <w:szCs w:val="27"/>
        </w:rPr>
        <w:t>35</w:t>
      </w:r>
      <w:r>
        <w:rPr>
          <w:color w:val="000000"/>
          <w:sz w:val="27"/>
          <w:szCs w:val="27"/>
          <w:lang w:val="ru-RU"/>
        </w:rPr>
        <w:t>4</w:t>
      </w:r>
      <w:r w:rsidRPr="00357129">
        <w:rPr>
          <w:color w:val="000000"/>
          <w:sz w:val="27"/>
          <w:szCs w:val="27"/>
        </w:rPr>
        <w:t xml:space="preserve"> Цивільного процесуального кодексу України,</w:t>
      </w:r>
    </w:p>
    <w:p w:rsidR="00440C85" w:rsidRDefault="00440C85" w:rsidP="00440C85">
      <w:pPr>
        <w:spacing w:before="120" w:beforeAutospacing="0" w:after="12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ПРОШУ:</w:t>
      </w:r>
    </w:p>
    <w:p w:rsidR="00440C85" w:rsidRPr="00357129" w:rsidRDefault="00440C85" w:rsidP="00440C85">
      <w:pPr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 w:rsidRPr="00357129">
        <w:rPr>
          <w:color w:val="000000"/>
          <w:sz w:val="27"/>
          <w:szCs w:val="27"/>
        </w:rPr>
        <w:t xml:space="preserve">Поновити </w:t>
      </w:r>
      <w:r>
        <w:rPr>
          <w:color w:val="000000"/>
          <w:sz w:val="27"/>
          <w:szCs w:val="27"/>
        </w:rPr>
        <w:t xml:space="preserve">мені </w:t>
      </w:r>
      <w:r w:rsidRPr="00357129">
        <w:rPr>
          <w:color w:val="000000"/>
          <w:sz w:val="27"/>
          <w:szCs w:val="27"/>
        </w:rPr>
        <w:t xml:space="preserve">пропущений строк для подання апеляційної скарги на рішення Бердянського </w:t>
      </w:r>
      <w:proofErr w:type="spellStart"/>
      <w:r w:rsidRPr="00357129">
        <w:rPr>
          <w:color w:val="000000"/>
          <w:sz w:val="27"/>
          <w:szCs w:val="27"/>
        </w:rPr>
        <w:t>міськрайонного</w:t>
      </w:r>
      <w:proofErr w:type="spellEnd"/>
      <w:r w:rsidRPr="00357129">
        <w:rPr>
          <w:color w:val="000000"/>
          <w:sz w:val="27"/>
          <w:szCs w:val="27"/>
        </w:rPr>
        <w:t xml:space="preserve"> суду Запорізької обла</w:t>
      </w:r>
      <w:r>
        <w:rPr>
          <w:color w:val="000000"/>
          <w:sz w:val="27"/>
          <w:szCs w:val="27"/>
        </w:rPr>
        <w:t xml:space="preserve">сті від ___________ </w:t>
      </w:r>
      <w:r w:rsidRPr="00357129">
        <w:rPr>
          <w:color w:val="000000"/>
          <w:sz w:val="27"/>
          <w:szCs w:val="27"/>
        </w:rPr>
        <w:t>року.</w:t>
      </w:r>
    </w:p>
    <w:p w:rsidR="00E77C44" w:rsidRPr="00440C85" w:rsidRDefault="00440C85">
      <w:pPr>
        <w:rPr>
          <w:color w:val="000000"/>
          <w:sz w:val="27"/>
          <w:szCs w:val="27"/>
        </w:rPr>
      </w:pPr>
      <w:r w:rsidRPr="00440C85">
        <w:rPr>
          <w:color w:val="000000"/>
          <w:sz w:val="27"/>
          <w:szCs w:val="27"/>
        </w:rPr>
        <w:t>Додатки:</w:t>
      </w:r>
    </w:p>
    <w:p w:rsidR="00440C85" w:rsidRPr="00440C85" w:rsidRDefault="00440C85">
      <w:pPr>
        <w:rPr>
          <w:color w:val="000000"/>
          <w:sz w:val="27"/>
          <w:szCs w:val="27"/>
        </w:rPr>
      </w:pPr>
    </w:p>
    <w:p w:rsidR="00440C85" w:rsidRPr="00440C85" w:rsidRDefault="00440C85">
      <w:pPr>
        <w:rPr>
          <w:color w:val="000000"/>
          <w:sz w:val="27"/>
          <w:szCs w:val="27"/>
        </w:rPr>
      </w:pPr>
      <w:r w:rsidRPr="00440C85">
        <w:rPr>
          <w:color w:val="000000"/>
          <w:sz w:val="27"/>
          <w:szCs w:val="27"/>
        </w:rPr>
        <w:t xml:space="preserve">Дата </w:t>
      </w:r>
      <w:r w:rsidRPr="00440C85">
        <w:rPr>
          <w:color w:val="000000"/>
          <w:sz w:val="27"/>
          <w:szCs w:val="27"/>
        </w:rPr>
        <w:tab/>
      </w:r>
      <w:r w:rsidRPr="00440C85">
        <w:rPr>
          <w:color w:val="000000"/>
          <w:sz w:val="27"/>
          <w:szCs w:val="27"/>
        </w:rPr>
        <w:tab/>
        <w:t>підпис</w:t>
      </w:r>
    </w:p>
    <w:sectPr w:rsidR="00440C85" w:rsidRPr="00440C85" w:rsidSect="00E7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BCC"/>
    <w:multiLevelType w:val="hybridMultilevel"/>
    <w:tmpl w:val="0220D7AA"/>
    <w:lvl w:ilvl="0" w:tplc="FB12995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C85"/>
    <w:rsid w:val="00206EF4"/>
    <w:rsid w:val="00440C85"/>
    <w:rsid w:val="00E7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1618-15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609</Words>
  <Characters>3476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1</cp:revision>
  <dcterms:created xsi:type="dcterms:W3CDTF">2019-04-15T13:21:00Z</dcterms:created>
  <dcterms:modified xsi:type="dcterms:W3CDTF">2019-04-15T13:33:00Z</dcterms:modified>
</cp:coreProperties>
</file>